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November 6, 2026</w:t>
      </w:r>
    </w:p>
    <w:p>
      <w:pPr>
        <w:spacing w:after="0" w:line="1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TREACE MEDICAL CONCEPTS,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p>
      <w:pPr>
        <w:spacing w:after="0" w:line="39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001-40355</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47-1052611</w:t>
      </w:r>
    </w:p>
    <w:p>
      <w:pPr>
        <w:spacing w:after="0" w:line="12" w:lineRule="exact"/>
        <w:rPr>
          <w:sz w:val="24"/>
          <w:szCs w:val="24"/>
          <w:color w:val="auto"/>
        </w:rPr>
      </w:pPr>
    </w:p>
    <w:p>
      <w:pPr>
        <w:sectPr>
          <w:pgSz w:w="11900" w:h="16838" w:orient="portrait"/>
          <w:cols w:equalWidth="0" w:num="3">
            <w:col w:w="4640" w:space="720"/>
            <w:col w:w="2920" w:space="720"/>
            <w:col w:w="2240"/>
          </w:cols>
          <w:pgMar w:left="320" w:top="1091" w:right="33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88" w:lineRule="exact"/>
        <w:rPr>
          <w:sz w:val="24"/>
          <w:szCs w:val="24"/>
          <w:color w:val="auto"/>
        </w:rPr>
      </w:pPr>
    </w:p>
    <w:p>
      <w:pPr>
        <w:sectPr>
          <w:pgSz w:w="11900" w:h="16838" w:orient="portrait"/>
          <w:cols w:equalWidth="0" w:num="3">
            <w:col w:w="4620" w:space="720"/>
            <w:col w:w="2680" w:space="720"/>
            <w:col w:w="2500"/>
          </w:cols>
          <w:pgMar w:left="320" w:top="109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 Palmetto Park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Ponte Vedra, Florida 32081</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(904) 373-5940</w:t>
      </w:r>
    </w:p>
    <w:p>
      <w:pPr>
        <w:sectPr>
          <w:pgSz w:w="11900" w:h="16838" w:orient="portrait"/>
          <w:cols w:equalWidth="0" w:num="1">
            <w:col w:w="11240"/>
          </w:cols>
          <w:pgMar w:left="320" w:top="1091" w:right="339" w:bottom="1440" w:gutter="0" w:footer="0" w:header="0"/>
          <w:type w:val="continuous"/>
        </w:sectPr>
      </w:pPr>
    </w:p>
    <w:p>
      <w:pPr>
        <w:spacing w:after="0" w:line="26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4"/>
          <w:szCs w:val="24"/>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tc>
        <w:tc>
          <w:tcPr>
            <w:tcW w:w="1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TMCI</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202" w:lineRule="exact"/>
        <w:rPr>
          <w:sz w:val="24"/>
          <w:szCs w:val="24"/>
          <w:color w:val="auto"/>
        </w:rPr>
      </w:pPr>
    </w:p>
    <w:p>
      <w:pPr>
        <w:jc w:val="both"/>
        <w:ind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8940"/>
        <w:spacing w:after="0" w:line="18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November 6, 2026, Treace Medical Concepts, Inc. (the “Company”) issued a press release regarding its financial results for the quarter ended September 30, 2026. A copy of the press release is furnished as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 xml:space="preserve"> to this Current Report on Form 8-K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-48260</wp:posOffset>
            </wp:positionV>
            <wp:extent cx="565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information furnished under this Item 2.02, including Exhibit 99.1, shall not be deemed “filed” for purposes of Section 18 of the Securities Exchange Act of 1934, as amended (the “Exchange Act”), or otherwise subject to the liabilities of that section, and shall not be deemed incorporated by reference into any filing under the Securities Act of 1933, as amended (the "Securities Act"),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1"/>
                <w:szCs w:val="21"/>
                <w:color w:val="auto"/>
              </w:rPr>
            </w:pPr>
          </w:p>
        </w:tc>
        <w:tc>
          <w:tcPr>
            <w:tcW w:w="9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2"/>
        </w:trPr>
        <w:tc>
          <w:tcPr>
            <w:tcW w:w="11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9860" w:type="dxa"/>
            <w:vAlign w:val="bottom"/>
            <w:gridSpan w:val="2"/>
          </w:tcPr>
          <w:p>
            <w:pPr>
              <w:spacing w:after="0" w:line="162" w:lineRule="exact"/>
              <w:rPr>
                <w:sz w:val="20"/>
                <w:szCs w:val="20"/>
                <w:color w:val="auto"/>
              </w:rPr>
            </w:pPr>
            <w:r>
              <w:rPr>
                <w:rFonts w:ascii="Times New Roman" w:cs="Times New Roman" w:eastAsia="Times New Roman" w:hAnsi="Times New Roman"/>
                <w:sz w:val="18"/>
                <w:szCs w:val="18"/>
                <w:color w:val="0000FF"/>
              </w:rPr>
              <w:t>Press Release of Treace Medical Concepts, Inc. issued on November 6, 2026</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60" w:type="dxa"/>
            <w:vAlign w:val="bottom"/>
            <w:tcBorders>
              <w:right w:val="single" w:sz="8" w:color="0000EE"/>
            </w:tcBorders>
            <w:shd w:val="clear" w:color="auto" w:fill="0000FF"/>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bl>
    <w:p>
      <w:pPr>
        <w:spacing w:after="0" w:line="9" w:lineRule="exact"/>
        <w:rPr>
          <w:sz w:val="20"/>
          <w:szCs w:val="20"/>
          <w:color w:val="auto"/>
        </w:rPr>
      </w:pPr>
    </w:p>
    <w:p>
      <w:pPr>
        <w:ind w:left="1380" w:hanging="1372"/>
        <w:spacing w:after="0"/>
        <w:tabs>
          <w:tab w:leader="none" w:pos="1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7300" w:type="dxa"/>
            <w:vAlign w:val="bottom"/>
            <w:gridSpan w:val="3"/>
          </w:tcPr>
          <w:p>
            <w:pPr>
              <w:ind w:left="2140"/>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tc>
      </w:tr>
      <w:tr>
        <w:trPr>
          <w:trHeight w:val="44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Mark L. Hair</w:t>
            </w:r>
          </w:p>
        </w:tc>
      </w:tr>
      <w:tr>
        <w:trPr>
          <w:trHeight w:val="218"/>
        </w:trPr>
        <w:tc>
          <w:tcPr>
            <w:tcW w:w="39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 L. Hair</w:t>
            </w:r>
          </w:p>
        </w:tc>
      </w:tr>
      <w:tr>
        <w:trPr>
          <w:trHeight w:val="234"/>
        </w:trPr>
        <w:tc>
          <w:tcPr>
            <w:tcW w:w="39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9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16510</wp:posOffset>
            </wp:positionV>
            <wp:extent cx="239141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914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Treace Medical Concepts Reports Third Quarter 2026 Financial Results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i w:val="1"/>
          <w:iCs w:val="1"/>
          <w:color w:val="auto"/>
        </w:rPr>
        <w:t>Achieved double digit procedure volume growth in the third quarter</w:t>
      </w:r>
    </w:p>
    <w:p>
      <w:pPr>
        <w:spacing w:after="0" w:line="2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PONTE VEDRA, Fla. – November 6, 2026 – </w:t>
      </w:r>
      <w:r>
        <w:rPr>
          <w:rFonts w:ascii="Arial" w:cs="Arial" w:eastAsia="Arial" w:hAnsi="Arial"/>
          <w:sz w:val="18"/>
          <w:szCs w:val="18"/>
          <w:color w:val="auto"/>
        </w:rPr>
        <w:t>Treace Medical Concepts, Inc. ("Treace" or the "Company") (NasdaqGS: TMCI), a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company with the goal of being the recognized leader in the surgical treatment of bunions and other foot &amp; ankle conditions, today reported financial results for the third quarter ended September 30,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04"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Generated revenue of $48.3 million in the third quarter 2026.</w:t>
      </w:r>
    </w:p>
    <w:p>
      <w:pPr>
        <w:spacing w:after="0" w:line="102" w:lineRule="exact"/>
        <w:rPr>
          <w:rFonts w:ascii="Times New Roman" w:cs="Times New Roman" w:eastAsia="Times New Roman" w:hAnsi="Times New Roman"/>
          <w:sz w:val="18"/>
          <w:szCs w:val="18"/>
          <w:color w:val="auto"/>
        </w:rPr>
      </w:pPr>
    </w:p>
    <w:p>
      <w:pPr>
        <w:ind w:left="300" w:hanging="292"/>
        <w:spacing w:after="0" w:line="270" w:lineRule="auto"/>
        <w:tabs>
          <w:tab w:leader="none" w:pos="3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Improved third quarter 2026 net loss by 23% to $(12.6) million, and Adjusted EBITDA by $2.9 million to $0.3 million when compared to the prior year period.</w:t>
      </w:r>
    </w:p>
    <w:p>
      <w:pPr>
        <w:spacing w:after="0" w:line="19" w:lineRule="exact"/>
        <w:rPr>
          <w:rFonts w:ascii="Times New Roman" w:cs="Times New Roman" w:eastAsia="Times New Roman" w:hAnsi="Times New Roman"/>
          <w:sz w:val="18"/>
          <w:szCs w:val="18"/>
          <w:color w:val="auto"/>
        </w:rPr>
      </w:pPr>
    </w:p>
    <w:p>
      <w:pPr>
        <w:ind w:left="300" w:hanging="292"/>
        <w:spacing w:after="0" w:line="270" w:lineRule="auto"/>
        <w:tabs>
          <w:tab w:leader="none" w:pos="3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Reduced year-to-date cash usage by 53% or $9.7 million when compared to the same period in 2025. Cash, cash equivalents, and marketable securities totaled $39.8 million as of September 30, 2026.</w:t>
      </w:r>
    </w:p>
    <w:p>
      <w:pPr>
        <w:spacing w:after="0" w:line="32" w:lineRule="exact"/>
        <w:rPr>
          <w:rFonts w:ascii="Times New Roman" w:cs="Times New Roman" w:eastAsia="Times New Roman" w:hAnsi="Times New Roman"/>
          <w:sz w:val="18"/>
          <w:szCs w:val="18"/>
          <w:color w:val="auto"/>
        </w:rPr>
      </w:pPr>
    </w:p>
    <w:p>
      <w:pPr>
        <w:ind w:left="300" w:hanging="292"/>
        <w:spacing w:after="0" w:line="270" w:lineRule="auto"/>
        <w:tabs>
          <w:tab w:leader="none" w:pos="3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Announced 5-Year results of a prospective, multicenter study demonstrating long term, positive outcomes of the Lapiplasty® procedure; a first-in-industry milestone for a commercial instrumented bunion correction system.</w:t>
      </w:r>
    </w:p>
    <w:p>
      <w:pPr>
        <w:spacing w:after="0" w:line="32" w:lineRule="exact"/>
        <w:rPr>
          <w:rFonts w:ascii="Times New Roman" w:cs="Times New Roman" w:eastAsia="Times New Roman" w:hAnsi="Times New Roman"/>
          <w:sz w:val="18"/>
          <w:szCs w:val="18"/>
          <w:color w:val="auto"/>
        </w:rPr>
      </w:pPr>
    </w:p>
    <w:p>
      <w:pPr>
        <w:ind w:left="300" w:hanging="292"/>
        <w:spacing w:after="0" w:line="270" w:lineRule="auto"/>
        <w:tabs>
          <w:tab w:leader="none" w:pos="3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adoption of expanded bunion portfolio with approximately 45% of Lapiplasty® surgeon users now incorporating one or more of the Company’s three new bunion systems launched in the third quarter 2025, up from 40% in the second quarter of 2026.</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encouraged by our third quarter performance, reflecting accelerated double-digit case volume growth and continued market share gains – driven by increasing adoption of our comprehensive range of best-in-class bunion systems, as well as our expanding portfolio of new technologies including our SuperBite™ compression screws. These new product offerings are allowing us to penetrate a much broader range of our surgeon customers’ most common foot and ankle procedures,” said John T. Treace, CEO and Chairman of Treace Medical. “We continue to make disciplined investments in key growth initiatives with an emphasis on our product pipeline, while staying focused on improving profitability and reducing cash usage. We believe this balanced approach positions us to build momentum and deliver stronger growth to finish the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2026 Financial Results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Revenue for the third quarter of 2026 was $48.3 million, representing a decrease of 4% compared to $50.2 million in the third quarter of 2025. The decline was mainly driven by the shift in revenue mix towards lower priced minimally invasive products and lower volume of bunion procedure kits sold. Excluding sales to stocking distributors, bunion kit sales volume increased, and revenue grew mid-single digits compared to third quarter of 2025.</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Gross profit for the third quarter of 2026 was $38.4 million compared to $ 39.7 million in the third quarter of 2025. Gross margin was 79.5% in the third quarter of 2026, compared to 79.1% in the third quarter of 2025.</w:t>
      </w:r>
    </w:p>
    <w:p>
      <w:pPr>
        <w:spacing w:after="0" w:line="140"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Total operating expenses decreased $5.5 million, or 10%, to $49.9 million in the third quarter of 2026 compared to total operating expenses of $55.4 million in the third quarter of 2025, primarily driven by targeted expense reduction initiatives across the organization.</w:t>
      </w:r>
    </w:p>
    <w:p>
      <w:pPr>
        <w:spacing w:after="0" w:line="1" w:lineRule="exact"/>
        <w:rPr>
          <w:sz w:val="20"/>
          <w:szCs w:val="20"/>
          <w:color w:val="auto"/>
        </w:rPr>
      </w:pPr>
    </w:p>
    <w:p>
      <w:pPr>
        <w:ind w:left="10700"/>
        <w:spacing w:after="0"/>
        <w:rPr>
          <w:sz w:val="20"/>
          <w:szCs w:val="20"/>
          <w:color w:val="auto"/>
        </w:rPr>
      </w:pPr>
      <w:r>
        <w:rPr>
          <w:rFonts w:ascii="Arial" w:cs="Arial" w:eastAsia="Arial" w:hAnsi="Arial"/>
          <w:sz w:val="14"/>
          <w:szCs w:val="14"/>
          <w:color w:val="auto"/>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4" w:name="page5"/>
    <w:bookmarkEnd w:id="4"/>
    <w:p>
      <w:pPr>
        <w:jc w:val="both"/>
        <w:spacing w:after="0" w:line="247" w:lineRule="auto"/>
        <w:rPr>
          <w:sz w:val="20"/>
          <w:szCs w:val="20"/>
          <w:color w:val="auto"/>
        </w:rPr>
      </w:pPr>
      <w:r>
        <w:rPr>
          <w:rFonts w:ascii="Arial" w:cs="Arial" w:eastAsia="Arial" w:hAnsi="Arial"/>
          <w:sz w:val="18"/>
          <w:szCs w:val="18"/>
          <w:color w:val="auto"/>
        </w:rPr>
        <w:t>Third quarter 2026 net loss decreased by $ 3.7 million to $(12.6) million, or $(0.19) per share, compared to $(16.3) million, or $(0.26) per share, for the same period in 2025. Adjusted EBITDA increased by $2.9 million to $0.3 million in the third quarter of 2026 compared to $(2.6) million for the same period in 2025. The financial tables and description below provide additional information and a reconciliation of non-GAAP financial information.</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Year-to-date cash usage was reduced by 53% or $9.7 million when compared to the same period in 2025. Cash, cash equivalents, and marketable securities totaled $39.8 million as of September 30, 2026. The Company’s existing credit facility provides up to an additional $115 million of borrowing capacity subject to certain conditions.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Financial Outlook</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is updating its full-year 2026 revenue guidance to be in the range of $206 million to $210 million, from the prior range of $204 million to $212 million, representing a decline of 3% to 1% compared to full-year 2025.</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updating its expectation of a loss in Adjusted EBITDA to be in the range of $1.0 million to $2.0 million for full year 2026, from the prior range of $3.0 million to $5.0 million for full year 2026.* The Company reported an Adjusted EBITDA loss of $3.9 million in the full-year 2025.*</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reiterates its expectation for a reduction in cash usage of approximately 50% for full-year 2026 as compared to the full year 2025.</w:t>
      </w:r>
    </w:p>
    <w:p>
      <w:pPr>
        <w:spacing w:after="0" w:line="140" w:lineRule="exact"/>
        <w:rPr>
          <w:sz w:val="20"/>
          <w:szCs w:val="20"/>
          <w:color w:val="auto"/>
        </w:rPr>
      </w:pPr>
    </w:p>
    <w:p>
      <w:pPr>
        <w:ind w:right="620"/>
        <w:spacing w:after="0" w:line="414" w:lineRule="auto"/>
        <w:rPr>
          <w:sz w:val="20"/>
          <w:szCs w:val="20"/>
          <w:color w:val="auto"/>
        </w:rPr>
      </w:pPr>
      <w:r>
        <w:rPr>
          <w:rFonts w:ascii="Arial" w:cs="Arial" w:eastAsia="Arial" w:hAnsi="Arial"/>
          <w:sz w:val="18"/>
          <w:szCs w:val="18"/>
          <w:color w:val="auto"/>
        </w:rPr>
        <w:t xml:space="preserve">The Company’s full-year 2026 guidance assumes continued case volume growth and improving year-over-year revenue growth rates. </w:t>
      </w:r>
      <w:r>
        <w:rPr>
          <w:rFonts w:ascii="Arial" w:cs="Arial" w:eastAsia="Arial" w:hAnsi="Arial"/>
          <w:sz w:val="18"/>
          <w:szCs w:val="18"/>
          <w:b w:val="1"/>
          <w:bCs w:val="1"/>
          <w:color w:val="auto"/>
        </w:rPr>
        <w:t>Webcast and Conference Call Details</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Treace will host a conference call today, November 6, 2026, at 8:00 a.m. ET to discuss its third quarter 2026 financial results. Investors interested in listening to the conference call may do so by registering. The live webcast of the conference call will be available on the Investor Relations section of the Company’s website at investors.treace.com. The webcast will be archived on the website following the completion of the call.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supplement the financial results presented in accordance with GAAP, this earnings release presents Adjusted EBITDA, which the Company defines as net loss before depreciation and amortization expense, interest income, interest expense, taxes, share-based compensation expense, acquisition-related costs, restructuring costs, customer credit loss, litigation costs, and debt extinguishment loss. Non-GAAP financial measures such as Adjusted EBITDA are presented in addition to, and not as a substitute for, or superior to, financial measures calculated in accordance with GAAP. Management uses non-GAAP financial measures to evaluate the Company’s operating performance and trends, as well as for making planning decisions. The Company believes that Adjusted EBITDA helps to identify underlying trends in the Company’s business that may otherwise be masked by the effect of the income and expenses and other items that it excludes in its calculation of Adjusted EBITDA. Accordingly, the Company believes this non-GAAP financial measure provides useful information to investors and others in understanding and evaluating the Company’s operating results, enhancing the overall understanding of its past performance and future prospects, and allowing for greater transparency with respect to key financial metrics used by the Company’s management in their financial and operational decision-making. The Company also presents this non-GAAP financial measure because it believes investors, analysts and rating agencies consider it to be a useful metric in measuring the Company’s performance against other companies and its ability to meet its debt service obligations.</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There are limitations related to the use of non-GAAP financial measures such as Adjusted EBITDA because they are not prepared in accordance with GAAP, may exclude significant income and expenses required by GAAP to be recognized in the Company’s financial statements, and may not be comparable to</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 w:name="page6"/>
    <w:bookmarkEnd w:id="5"/>
    <w:p>
      <w:pPr>
        <w:jc w:val="both"/>
        <w:spacing w:after="0" w:line="253" w:lineRule="auto"/>
        <w:rPr>
          <w:sz w:val="20"/>
          <w:szCs w:val="20"/>
          <w:color w:val="auto"/>
        </w:rPr>
      </w:pPr>
      <w:r>
        <w:rPr>
          <w:rFonts w:ascii="Arial" w:cs="Arial" w:eastAsia="Arial" w:hAnsi="Arial"/>
          <w:sz w:val="18"/>
          <w:szCs w:val="18"/>
          <w:color w:val="auto"/>
        </w:rPr>
        <w:t>non-GAAP financial measures used by other companies. The Company encourages investors to carefully consider its results under GAAP, as well as its supplemental non-GAAP information and the reconciliation between these presentations, to more fully understand its business. A reconciliation between GAAP and non-GAAP results is presented below.</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reconciliation of Adjusted EBITDA to GAAP net loss on a forward-looking basis is not available without unreasonable efforts due to the high variability, complexity and low visibility with respect to the items excluded from this non-GAAP measure.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and statements made during the Company’s earnings call contain forward-looking statements within the meaning of Section 27A of the Securities Act of 1933, as amended, and Section 21E of the Securities Exchange Act of 1934, as amended. All statements other than statements of historical fact are forward-looking statements, including, but not limited to, the Company’s: 2026 full-year guidance; anticipated liquidity; 2026 Adjusted EBITDA guidance; expected 2026 cash usage decrease; anticipated building momentum and delivery of stronger growth to finish the year; anticipated continued case volume growth; expected increase in product adoptions, portfolio utilization and market share; continued execution of commercial and other strategic initiatives; ability to effectively respond to and mitigate the impact of challenges in the current market environment, including in response to increased competition, evolving surgeon and patient preferences for minimally invasive bunion solutions, changes in tariffs and trade policies, supply chain disruptions, protracted government and infrastructure shutdowns, and lower patient demand for elective bunion surgery due to macroeconomic uncertainty and soft consumer sentiment; anticipated future product launches and the timing of such product launches; ability to increase procedure volumes, expand surgeon relationships and utilization rate, and increase procedure penetration and market share; ability to protect and enforce its intellectual property rights, including through its patent infringement and unfair competition suits; success in defending against securities class actions and infringement of its intellectual property by third parties, including its competitors; expected seasonality; ability to leverage investments in its commercial organization and control costs in its organizational structure and to effectively and appropriate engage with and utilize consulting surgeons; anticipated expansion of clinical evidence; the amount and timing of orders for our products from stocking distributors and other customers; ability to obtain an adequate supply of materials and components, including from single-source or foreign suppliers; the impact of cybersecurity attacks or breaches, including attacks facilitated by artificial intelligence; and anticipated pace of growth in the foot and ankle market. Forward-looking statements are based on management’s current assumptions and expectations of future events and trends, which affect or may affect the Company’s business, strategy, operations or financial performance, and actual results and other events may differ materially from those expressed or implied in such statements due to numerous risks and uncertainties. Forward-looking statements are inherently subject to risks and uncertainties, some of which cannot be predicted or quantified. Factors that could cause actual results or other events to differ materially from those contemplated in this press release can be found in the Risk Factors section of Treace’s public filings with the Securities and Exchange Commission (SEC), including its Annual Report on Form 10-K for the year ended December 31, 2025, which was filed with the SEC on February 27, 2026, and Quarterly Reports on Form 10-Q or Current Reports on Form 8-K. Because forward-looking statements are inherently subject to risks and uncertainties, you should not rely on these forward-looking statements as predictions of future events. These forward-looking statements speak only as of their date and, except to the extent required by law, the Company undertakes no obligation to update these statements, whether as a result of any new information, future developments or otherwise. The Company’s results for the quarter ended September 30, 2026 are not necessarily indicative of its operating results for any future periods.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Posting of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Treace routinely posts information that may be important to investors in the “Investor Relations” section of its website at www.treace.com.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Company encourages investors and potential investors to consult the Treace website regularly for important information about Treace.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Treace Medical Concepts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Treace Medical Concepts, Inc. is a medical technology company with the goal of being the recognized leader in the surgical treatment of bunions and other foot &amp; ankle conditions. Bunions are complex 3-dimensional deformities that originate from an unstable joint in the middle of the foot and affect</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 w:name="page7"/>
    <w:bookmarkEnd w:id="6"/>
    <w:p>
      <w:pPr>
        <w:jc w:val="both"/>
        <w:spacing w:after="0" w:line="239" w:lineRule="auto"/>
        <w:rPr>
          <w:sz w:val="20"/>
          <w:szCs w:val="20"/>
          <w:color w:val="auto"/>
        </w:rPr>
      </w:pPr>
      <w:r>
        <w:rPr>
          <w:rFonts w:ascii="Arial" w:cs="Arial" w:eastAsia="Arial" w:hAnsi="Arial"/>
          <w:sz w:val="18"/>
          <w:szCs w:val="18"/>
          <w:color w:val="auto"/>
        </w:rPr>
        <w:t>approximately 67 million Americans, of which Treace estimates 1.1 million are annual surgical candidates. Treace has pioneered and patented the Lapiplasty® 3D Bunion Correction® System – a combination of instruments, implants, and surgical methods designed to surgically correct all three planes of the bunion deformity and secure the unstable joint, addressing the root cause of the bunion and helping patients get back to their active lifestyles. To further support the needs of surgeons and bunion patients, Treace offers its Adductoplasty® Midfoot Correction System, designed for reproducible surgical correction of midfoot deformities, two systems for minimally invasive osteotomy procedures, namely the Nanoplasty® 3D Minimally Invasive Bunion Correction System and the Percuplasty® Percutaneous 3D Bunion Correction System, and the SpeedMTP® MTP Fusion System. Treace continues to expand its footprint in the marketplace by extending its SpeedPlate® rapid compression implant platform to new applications, providing surgeons with advanced digital solutions with its IntelliGuide® patient specific, pre-op planning and cut guide technology, and offering SuperBite™ fully-threaded compression screws for use in fusions throughout the foot. For more information, please visit www.treace.com.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Treace, connect with us on LinkedIn, X, Facebook and Instagram.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Treace Medical Concepts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L. Hair</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235" w:lineRule="auto"/>
        <w:rPr>
          <w:sz w:val="20"/>
          <w:szCs w:val="20"/>
          <w:color w:val="auto"/>
        </w:rPr>
      </w:pPr>
      <w:r>
        <w:rPr>
          <w:rFonts w:ascii="Arial" w:cs="Arial" w:eastAsia="Arial" w:hAnsi="Arial"/>
          <w:sz w:val="18"/>
          <w:szCs w:val="18"/>
          <w:color w:val="auto"/>
        </w:rPr>
        <w:t>mhair@treace.net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(904) 373-5940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Gilmartin Group</w:t>
      </w:r>
    </w:p>
    <w:p>
      <w:pPr>
        <w:spacing w:after="0" w:line="234" w:lineRule="auto"/>
        <w:rPr>
          <w:sz w:val="20"/>
          <w:szCs w:val="20"/>
          <w:color w:val="auto"/>
        </w:rPr>
      </w:pPr>
      <w:r>
        <w:rPr>
          <w:rFonts w:ascii="Arial" w:cs="Arial" w:eastAsia="Arial" w:hAnsi="Arial"/>
          <w:sz w:val="18"/>
          <w:szCs w:val="18"/>
          <w:color w:val="auto"/>
        </w:rPr>
        <w:t>Philip Trip Taylor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IR@treace.net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48,253</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50,214</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140,827</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150,171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9,903</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10,508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29,463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30,820</w:t>
            </w:r>
          </w:p>
        </w:tc>
        <w:tc>
          <w:tcPr>
            <w:tcW w:w="0" w:type="dxa"/>
            <w:vAlign w:val="bottom"/>
          </w:tcPr>
          <w:p>
            <w:pPr>
              <w:spacing w:after="0"/>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38,350</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39,706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111,364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119,351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29,708</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34,421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94,423</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103,627</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4,492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13,490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15,740</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15,682</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16,281</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47,108</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48,216</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49,882</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55,382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155,021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167,583</w:t>
            </w:r>
          </w:p>
        </w:tc>
        <w:tc>
          <w:tcPr>
            <w:tcW w:w="0" w:type="dxa"/>
            <w:vAlign w:val="bottom"/>
          </w:tcPr>
          <w:p>
            <w:pPr>
              <w:spacing w:after="0"/>
              <w:rPr>
                <w:sz w:val="1"/>
                <w:szCs w:val="1"/>
                <w:color w:val="auto"/>
              </w:rPr>
            </w:pPr>
          </w:p>
        </w:tc>
      </w:tr>
      <w:tr>
        <w:trPr>
          <w:trHeight w:val="21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(48,232)</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(49,608)</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(16,255)</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(46,580)</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(49,622)</w:t>
            </w:r>
          </w:p>
        </w:tc>
        <w:tc>
          <w:tcPr>
            <w:tcW w:w="0" w:type="dxa"/>
            <w:vAlign w:val="bottom"/>
          </w:tcPr>
          <w:p>
            <w:pPr>
              <w:spacing w:after="0"/>
              <w:rPr>
                <w:sz w:val="1"/>
                <w:szCs w:val="1"/>
                <w:color w:val="auto"/>
              </w:rPr>
            </w:pPr>
          </w:p>
        </w:tc>
      </w:tr>
      <w:tr>
        <w:trPr>
          <w:trHeight w:val="20"/>
        </w:trPr>
        <w:tc>
          <w:tcPr>
            <w:tcW w:w="56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191"/>
        </w:trPr>
        <w:tc>
          <w:tcPr>
            <w:tcW w:w="5600" w:type="dxa"/>
            <w:vAlign w:val="bottom"/>
            <w:shd w:val="clear" w:color="auto" w:fill="CFF0FC"/>
          </w:tcPr>
          <w:p>
            <w:pPr>
              <w:ind w:left="120"/>
              <w:spacing w:after="0" w:line="191"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 and</w:t>
            </w:r>
          </w:p>
        </w:tc>
        <w:tc>
          <w:tcPr>
            <w:tcW w:w="22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65,464,832</w:t>
            </w:r>
          </w:p>
        </w:tc>
        <w:tc>
          <w:tcPr>
            <w:tcW w:w="140" w:type="dxa"/>
            <w:vAlign w:val="bottom"/>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w w:val="96"/>
              </w:rPr>
              <w:t>63,515,372</w:t>
            </w:r>
          </w:p>
        </w:tc>
        <w:tc>
          <w:tcPr>
            <w:tcW w:w="1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65,038,981</w:t>
            </w:r>
          </w:p>
        </w:tc>
        <w:tc>
          <w:tcPr>
            <w:tcW w:w="14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98"/>
              </w:rPr>
              <w:t>63,069,810</w:t>
            </w:r>
          </w:p>
        </w:tc>
        <w:tc>
          <w:tcPr>
            <w:tcW w:w="0" w:type="dxa"/>
            <w:vAlign w:val="bottom"/>
          </w:tcPr>
          <w:p>
            <w:pPr>
              <w:spacing w:after="0"/>
              <w:rPr>
                <w:sz w:val="1"/>
                <w:szCs w:val="1"/>
                <w:color w:val="auto"/>
              </w:rPr>
            </w:pPr>
          </w:p>
        </w:tc>
      </w:tr>
      <w:tr>
        <w:trPr>
          <w:trHeight w:val="234"/>
        </w:trPr>
        <w:tc>
          <w:tcPr>
            <w:tcW w:w="5600" w:type="dxa"/>
            <w:vAlign w:val="bottom"/>
            <w:tcBorders>
              <w:bottom w:val="single" w:sz="8" w:color="CFF0FC"/>
            </w:tcBorders>
            <w:shd w:val="clear" w:color="auto" w:fill="CFF0FC"/>
          </w:tcPr>
          <w:p>
            <w:pPr>
              <w:ind w:left="12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-2142490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-2142490</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-2142490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-1293495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-1293495</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-1293495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-582295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-565150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-582295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-565150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-582295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-565150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short-term</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$1,533 and $1,824 as of September 30, 2026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30,219</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Intangible assets, net of accumulated amortization of $3,088 and $2,375 as of September 30, 2026 and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non-current assets, net of allowance for credit losses of $17 and $69 as of September 30, 2026 and</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179,300</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commissions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shares authorized as of September 30, 2026 and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2025; 0 shares issued as of September 30, 2026 and December 31, 2025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6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300,000,000 shares authorized; 65,874,175 and 64,029,378 shares</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as of September 30, 2026 and December 31, 2025, respectively</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(295,392)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(248,992)</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Treasury stock, at cost; 348,299 and 165,513 shares as of September 30, 2026 and December 31,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21"/>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2025, respectively</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61,646</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87,332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179,300</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-4619625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-4619625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-3522345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-3522345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-2390775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-1833880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80" w:type="dxa"/>
            <w:vAlign w:val="bottom"/>
            <w:tcBorders>
              <w:bottom w:val="single" w:sz="8" w:color="auto"/>
            </w:tcBorders>
          </w:tcPr>
          <w:p>
            <w:pPr>
              <w:spacing w:after="0"/>
              <w:rPr>
                <w:sz w:val="15"/>
                <w:szCs w:val="15"/>
                <w:color w:val="auto"/>
              </w:rPr>
            </w:pPr>
          </w:p>
        </w:tc>
      </w:tr>
      <w:tr>
        <w:trPr>
          <w:trHeight w:val="142"/>
        </w:trPr>
        <w:tc>
          <w:tcPr>
            <w:tcW w:w="6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2"/>
                <w:szCs w:val="12"/>
                <w:color w:val="auto"/>
              </w:rPr>
            </w:pPr>
          </w:p>
        </w:tc>
        <w:tc>
          <w:tcPr>
            <w:tcW w:w="11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2"/>
                <w:szCs w:val="12"/>
                <w:color w:val="auto"/>
              </w:rPr>
            </w:pPr>
          </w:p>
        </w:tc>
      </w:tr>
      <w:tr>
        <w:trPr>
          <w:trHeight w:val="19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8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280" w:type="dxa"/>
            <w:vAlign w:val="bottom"/>
            <w:gridSpan w:val="2"/>
          </w:tcPr>
          <w:p>
            <w:pPr>
              <w:jc w:val="right"/>
              <w:ind w:right="84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(46,400)</w:t>
            </w:r>
          </w:p>
        </w:tc>
        <w:tc>
          <w:tcPr>
            <w:tcW w:w="116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(49,608)</w:t>
            </w:r>
          </w:p>
        </w:tc>
      </w:tr>
      <w:tr>
        <w:trPr>
          <w:trHeight w:val="18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w:t>
            </w:r>
          </w:p>
        </w:tc>
        <w:tc>
          <w:tcPr>
            <w:tcW w:w="1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16"/>
        </w:trPr>
        <w:tc>
          <w:tcPr>
            <w:tcW w:w="6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activities</w:t>
            </w:r>
          </w:p>
        </w:tc>
        <w:tc>
          <w:tcPr>
            <w:tcW w:w="1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0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4,819</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7,815</w:t>
            </w:r>
          </w:p>
        </w:tc>
      </w:tr>
      <w:tr>
        <w:trPr>
          <w:trHeight w:val="203"/>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Provision for allowance for credit losses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363</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512</w:t>
            </w:r>
          </w:p>
        </w:tc>
      </w:tr>
      <w:tr>
        <w:trPr>
          <w:trHeight w:val="20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21,428</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26,268</w:t>
            </w:r>
          </w:p>
        </w:tc>
      </w:tr>
      <w:tr>
        <w:trPr>
          <w:trHeight w:val="203"/>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Non-cash lease expense</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1,637</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1,689</w:t>
            </w:r>
          </w:p>
        </w:tc>
      </w:tr>
      <w:tr>
        <w:trPr>
          <w:trHeight w:val="20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747</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w:t>
            </w:r>
          </w:p>
        </w:tc>
      </w:tr>
      <w:tr>
        <w:trPr>
          <w:trHeight w:val="203"/>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(accretion) of premium (discount) on marketable securities, net</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0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1,766</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750</w:t>
            </w:r>
          </w:p>
        </w:tc>
      </w:tr>
      <w:tr>
        <w:trPr>
          <w:trHeight w:val="203"/>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changes in operating assets and liabilities, net of acquisitions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0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11,573</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7,428</w:t>
            </w:r>
          </w:p>
        </w:tc>
      </w:tr>
      <w:tr>
        <w:trPr>
          <w:trHeight w:val="203"/>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(6,273)</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(2,169)</w:t>
            </w:r>
          </w:p>
        </w:tc>
      </w:tr>
      <w:tr>
        <w:trPr>
          <w:trHeight w:val="20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03"/>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0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(2,382)</w:t>
            </w:r>
          </w:p>
        </w:tc>
      </w:tr>
      <w:tr>
        <w:trPr>
          <w:trHeight w:val="203"/>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7,558</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5,581</w:t>
            </w:r>
          </w:p>
        </w:tc>
      </w:tr>
      <w:tr>
        <w:trPr>
          <w:trHeight w:val="20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3,833</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r>
      <w:tr>
        <w:trPr>
          <w:trHeight w:val="203"/>
        </w:trPr>
        <w:tc>
          <w:tcPr>
            <w:tcW w:w="6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2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391</w:t>
            </w: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w:t>
            </w:r>
          </w:p>
        </w:tc>
      </w:tr>
      <w:tr>
        <w:trPr>
          <w:trHeight w:val="196"/>
        </w:trPr>
        <w:tc>
          <w:tcPr>
            <w:tcW w:w="6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2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(7,944)</w:t>
            </w:r>
          </w:p>
        </w:tc>
      </w:tr>
      <w:tr>
        <w:trPr>
          <w:trHeight w:val="196"/>
        </w:trPr>
        <w:tc>
          <w:tcPr>
            <w:tcW w:w="6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20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available-for-sale marketable securities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(26,181)</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(34,889)</w:t>
            </w:r>
          </w:p>
        </w:tc>
      </w:tr>
      <w:tr>
        <w:trPr>
          <w:trHeight w:val="203"/>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Sales and maturities of available-for-sale marketable securities</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31,607</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49,593</w:t>
            </w:r>
          </w:p>
        </w:tc>
      </w:tr>
      <w:tr>
        <w:trPr>
          <w:trHeight w:val="203"/>
        </w:trPr>
        <w:tc>
          <w:tcPr>
            <w:tcW w:w="64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8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(7,434)</w:t>
            </w:r>
          </w:p>
        </w:tc>
        <w:tc>
          <w:tcPr>
            <w:tcW w:w="160" w:type="dxa"/>
            <w:vAlign w:val="bottom"/>
            <w:tcBorders>
              <w:bottom w:val="single" w:sz="8" w:color="CFF0FC"/>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(11,119)</w:t>
            </w:r>
          </w:p>
        </w:tc>
      </w:tr>
      <w:tr>
        <w:trPr>
          <w:trHeight w:val="196"/>
        </w:trPr>
        <w:tc>
          <w:tcPr>
            <w:tcW w:w="64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2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3,585</w:t>
            </w:r>
          </w:p>
        </w:tc>
      </w:tr>
      <w:tr>
        <w:trPr>
          <w:trHeight w:val="395"/>
        </w:trPr>
        <w:tc>
          <w:tcPr>
            <w:tcW w:w="6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5"/>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insurance premium financing</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899</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1,553</w:t>
            </w:r>
          </w:p>
        </w:tc>
      </w:tr>
      <w:tr>
        <w:trPr>
          <w:trHeight w:val="20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Payments on insurance premium financing</w:t>
            </w:r>
          </w:p>
        </w:tc>
        <w:tc>
          <w:tcPr>
            <w:tcW w:w="1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0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employee stock options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476</w:t>
            </w:r>
          </w:p>
        </w:tc>
      </w:tr>
      <w:tr>
        <w:trPr>
          <w:trHeight w:val="203"/>
        </w:trPr>
        <w:tc>
          <w:tcPr>
            <w:tcW w:w="6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Taxes from withheld shares</w:t>
            </w:r>
          </w:p>
        </w:tc>
        <w:tc>
          <w:tcPr>
            <w:tcW w:w="12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w:t>
            </w:r>
          </w:p>
        </w:tc>
      </w:tr>
      <w:tr>
        <w:trPr>
          <w:trHeight w:val="196"/>
        </w:trPr>
        <w:tc>
          <w:tcPr>
            <w:tcW w:w="6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695</w:t>
            </w:r>
          </w:p>
        </w:tc>
      </w:tr>
      <w:tr>
        <w:trPr>
          <w:trHeight w:val="196"/>
        </w:trPr>
        <w:tc>
          <w:tcPr>
            <w:tcW w:w="64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2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(2,948)</w:t>
            </w:r>
          </w:p>
        </w:tc>
        <w:tc>
          <w:tcPr>
            <w:tcW w:w="1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(3,664)</w:t>
            </w:r>
          </w:p>
        </w:tc>
      </w:tr>
      <w:tr>
        <w:trPr>
          <w:trHeight w:val="196"/>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2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10,708</w:t>
            </w:r>
          </w:p>
        </w:tc>
        <w:tc>
          <w:tcPr>
            <w:tcW w:w="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11,350</w:t>
            </w:r>
          </w:p>
        </w:tc>
      </w:tr>
      <w:tr>
        <w:trPr>
          <w:trHeight w:val="23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7,760</w:t>
            </w:r>
          </w:p>
        </w:tc>
        <w:tc>
          <w:tcPr>
            <w:tcW w:w="116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7,686</w:t>
            </w:r>
          </w:p>
        </w:tc>
      </w:tr>
      <w:tr>
        <w:trPr>
          <w:trHeight w:val="382"/>
        </w:trPr>
        <w:tc>
          <w:tcPr>
            <w:tcW w:w="6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28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r>
      <w:tr>
        <w:trPr>
          <w:trHeight w:val="206"/>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2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3,529</w:t>
            </w:r>
          </w:p>
        </w:tc>
        <w:tc>
          <w:tcPr>
            <w:tcW w:w="116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3,754</w:t>
            </w:r>
          </w:p>
        </w:tc>
      </w:tr>
      <w:tr>
        <w:trPr>
          <w:trHeight w:val="203"/>
        </w:trPr>
        <w:tc>
          <w:tcPr>
            <w:tcW w:w="6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investing activities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Unrealized (gains) losses, net on marketable securities</w:t>
            </w:r>
          </w:p>
        </w:tc>
        <w:tc>
          <w:tcPr>
            <w:tcW w:w="2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c>
          <w:tcPr>
            <w:tcW w:w="116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r>
      <w:tr>
        <w:trPr>
          <w:trHeight w:val="202"/>
        </w:trPr>
        <w:tc>
          <w:tcPr>
            <w:tcW w:w="6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Noncash financing activities</w:t>
            </w: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Legal cost financing</w:t>
            </w:r>
          </w:p>
        </w:tc>
        <w:tc>
          <w:tcPr>
            <w:tcW w:w="22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1,723</w:t>
            </w:r>
          </w:p>
        </w:tc>
        <w:tc>
          <w:tcPr>
            <w:tcW w:w="116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-3308350</wp:posOffset>
            </wp:positionV>
            <wp:extent cx="102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-2532380</wp:posOffset>
            </wp:positionV>
            <wp:extent cx="128270" cy="1708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270" cy="1708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-1473835</wp:posOffset>
            </wp:positionV>
            <wp:extent cx="1028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-1199515</wp:posOffset>
            </wp:positionV>
            <wp:extent cx="102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-925195</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-908050</wp:posOffset>
            </wp:positionV>
            <wp:extent cx="102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EBITDA &amp;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3"/>
                <w:szCs w:val="13"/>
                <w:color w:val="auto"/>
              </w:rPr>
            </w:pPr>
          </w:p>
        </w:tc>
      </w:tr>
      <w:tr>
        <w:trPr>
          <w:trHeight w:val="173"/>
        </w:trPr>
        <w:tc>
          <w:tcPr>
            <w:tcW w:w="3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5"/>
                <w:szCs w:val="15"/>
                <w:color w:val="auto"/>
              </w:rPr>
            </w:pPr>
          </w:p>
        </w:tc>
      </w:tr>
      <w:tr>
        <w:trPr>
          <w:trHeight w:val="196"/>
        </w:trPr>
        <w:tc>
          <w:tcPr>
            <w:tcW w:w="3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3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gridSpan w:val="2"/>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72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(16,288)</w:t>
            </w:r>
          </w:p>
        </w:tc>
        <w:tc>
          <w:tcPr>
            <w:tcW w:w="48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(46,400)</w:t>
            </w:r>
          </w:p>
        </w:tc>
        <w:tc>
          <w:tcPr>
            <w:tcW w:w="68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(49,608)</w:t>
            </w:r>
          </w:p>
        </w:tc>
      </w:tr>
      <w:tr>
        <w:trPr>
          <w:trHeight w:val="216"/>
        </w:trPr>
        <w:tc>
          <w:tcPr>
            <w:tcW w:w="3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16"/>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1,338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4,716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3,970</w:t>
            </w:r>
          </w:p>
        </w:tc>
      </w:tr>
      <w:tr>
        <w:trPr>
          <w:trHeight w:val="216"/>
        </w:trPr>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9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9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2,032</w:t>
            </w:r>
          </w:p>
        </w:tc>
        <w:tc>
          <w:tcPr>
            <w:tcW w:w="1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2,778</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4,819</w:t>
            </w: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7,815</w:t>
            </w:r>
          </w:p>
        </w:tc>
      </w:tr>
      <w:tr>
        <w:trPr>
          <w:trHeight w:val="209"/>
        </w:trPr>
        <w:tc>
          <w:tcPr>
            <w:tcW w:w="3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EBITDA</w:t>
            </w:r>
          </w:p>
        </w:tc>
        <w:tc>
          <w:tcPr>
            <w:tcW w:w="1780" w:type="dxa"/>
            <w:vAlign w:val="bottom"/>
            <w:gridSpan w:val="2"/>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(9,337)</w:t>
            </w:r>
          </w:p>
        </w:tc>
        <w:tc>
          <w:tcPr>
            <w:tcW w:w="72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48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(38,198)</w:t>
            </w:r>
          </w:p>
        </w:tc>
        <w:tc>
          <w:tcPr>
            <w:tcW w:w="68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(40,073)</w:t>
            </w:r>
          </w:p>
        </w:tc>
      </w:tr>
      <w:tr>
        <w:trPr>
          <w:trHeight w:val="216"/>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6,931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7,998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21,428</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26,268</w:t>
            </w:r>
          </w:p>
        </w:tc>
      </w:tr>
      <w:tr>
        <w:trPr>
          <w:trHeight w:val="216"/>
        </w:trPr>
        <w:tc>
          <w:tcPr>
            <w:tcW w:w="358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9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1,177</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1,009</w:t>
            </w: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1,177</w:t>
            </w:r>
          </w:p>
        </w:tc>
      </w:tr>
      <w:tr>
        <w:trPr>
          <w:trHeight w:val="216"/>
        </w:trPr>
        <w:tc>
          <w:tcPr>
            <w:tcW w:w="3580" w:type="dxa"/>
            <w:vAlign w:val="bottom"/>
            <w:tcBorders>
              <w:bottom w:val="single" w:sz="8" w:color="CFF0FC"/>
            </w:tcBorders>
          </w:tcPr>
          <w:p>
            <w:pPr>
              <w:ind w:left="120"/>
              <w:spacing w:after="0" w:line="216" w:lineRule="exact"/>
              <w:rPr>
                <w:sz w:val="20"/>
                <w:szCs w:val="20"/>
                <w:color w:val="auto"/>
              </w:rPr>
            </w:pPr>
            <w:r>
              <w:rPr>
                <w:rFonts w:ascii="Times New Roman" w:cs="Times New Roman" w:eastAsia="Times New Roman" w:hAnsi="Times New Roman"/>
                <w:sz w:val="18"/>
                <w:szCs w:val="18"/>
                <w:color w:val="auto"/>
              </w:rPr>
              <w:t>Litigation costs</w:t>
            </w:r>
            <w:r>
              <w:rPr>
                <w:rFonts w:ascii="Times New Roman" w:cs="Times New Roman" w:eastAsia="Times New Roman" w:hAnsi="Times New Roman"/>
                <w:sz w:val="24"/>
                <w:szCs w:val="24"/>
                <w:color w:val="auto"/>
                <w:vertAlign w:val="superscript"/>
              </w:rPr>
              <w:t>2</w:t>
            </w:r>
          </w:p>
        </w:tc>
        <w:tc>
          <w:tcPr>
            <w:tcW w:w="90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2,715</w:t>
            </w:r>
          </w:p>
        </w:tc>
        <w:tc>
          <w:tcPr>
            <w:tcW w:w="16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1,038</w:t>
            </w:r>
          </w:p>
        </w:tc>
        <w:tc>
          <w:tcPr>
            <w:tcW w:w="1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7,037</w:t>
            </w:r>
          </w:p>
        </w:tc>
        <w:tc>
          <w:tcPr>
            <w:tcW w:w="16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2,548</w:t>
            </w:r>
          </w:p>
        </w:tc>
      </w:tr>
      <w:tr>
        <w:trPr>
          <w:trHeight w:val="249"/>
        </w:trPr>
        <w:tc>
          <w:tcPr>
            <w:tcW w:w="35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1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-25400</wp:posOffset>
            </wp:positionV>
            <wp:extent cx="102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1028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-170815</wp:posOffset>
            </wp:positionV>
            <wp:extent cx="1028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-25400</wp:posOffset>
            </wp:positionV>
            <wp:extent cx="102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10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-170815</wp:posOffset>
            </wp:positionV>
            <wp:extent cx="1028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-25400</wp:posOffset>
            </wp:positionV>
            <wp:extent cx="102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1028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-170815</wp:posOffset>
            </wp:positionV>
            <wp:extent cx="102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8" w:lineRule="exact"/>
        <w:rPr>
          <w:sz w:val="20"/>
          <w:szCs w:val="20"/>
          <w:color w:val="auto"/>
        </w:rPr>
      </w:pPr>
    </w:p>
    <w:p>
      <w:pPr>
        <w:ind w:left="100" w:hanging="92"/>
        <w:spacing w:after="0"/>
        <w:tabs>
          <w:tab w:leader="none" w:pos="1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Restructuring charges primarily related to severance payments and other post-employment benefits.</w:t>
      </w: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 xml:space="preserve"> Litigation costs related to intellectual property lawsuits.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2026-11-06T06:07:08Z</dcterms:created>
  <dcterms:modified xsi:type="dcterms:W3CDTF">2026-11-06T06:07:08Z</dcterms:modified>
</cp:coreProperties>
</file>